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708" w:val="left"/>
          <w:tab w:leader="none" w:pos="1826" w:val="left"/>
        </w:tabs>
        <w:spacing w:after="0" w:before="0" w:line="100" w:lineRule="atLeast"/>
      </w:pPr>
      <w:r>
        <w:rPr>
          <w:color w:val="000000"/>
          <w:sz w:val="26"/>
          <w:szCs w:val="26"/>
          <w:lang w:eastAsia="it-IT"/>
        </w:rPr>
        <w:tab/>
        <w:tab/>
        <w:tab/>
        <w:tab/>
        <w:tab/>
        <w:tab/>
      </w:r>
      <w:r>
        <w:rPr>
          <w:color w:val="000000"/>
          <w:sz w:val="26"/>
          <w:b/>
          <w:szCs w:val="26"/>
          <w:bCs/>
          <w:lang w:eastAsia="it-IT"/>
        </w:rPr>
        <w:t>All'Ufficio Scolastico di Bergamo</w:t>
      </w:r>
    </w:p>
    <w:p>
      <w:pPr>
        <w:pStyle w:val="style0"/>
        <w:tabs>
          <w:tab w:leader="none" w:pos="708" w:val="left"/>
          <w:tab w:leader="none" w:pos="1826" w:val="left"/>
        </w:tabs>
        <w:spacing w:after="0" w:before="0" w:line="100" w:lineRule="atLeast"/>
      </w:pPr>
      <w:r>
        <w:rPr>
          <w:color w:val="000000"/>
          <w:sz w:val="26"/>
          <w:b/>
          <w:szCs w:val="26"/>
          <w:bCs/>
          <w:lang w:eastAsia="it-IT"/>
        </w:rPr>
        <w:tab/>
        <w:tab/>
        <w:tab/>
        <w:tab/>
        <w:tab/>
        <w:tab/>
        <w:t xml:space="preserve">via Pradello, 12 </w:t>
      </w:r>
    </w:p>
    <w:p>
      <w:pPr>
        <w:pStyle w:val="style0"/>
        <w:tabs>
          <w:tab w:leader="none" w:pos="708" w:val="left"/>
          <w:tab w:leader="none" w:pos="1826" w:val="left"/>
        </w:tabs>
        <w:spacing w:after="0" w:before="0" w:line="100" w:lineRule="atLeast"/>
      </w:pPr>
      <w:r>
        <w:rPr>
          <w:color w:val="000000"/>
          <w:sz w:val="26"/>
          <w:b/>
          <w:szCs w:val="26"/>
          <w:bCs/>
          <w:lang w:eastAsia="it-IT"/>
        </w:rPr>
        <w:tab/>
        <w:tab/>
        <w:tab/>
        <w:tab/>
        <w:tab/>
        <w:tab/>
        <w:t>24126 Bergamo</w:t>
      </w:r>
    </w:p>
    <w:p>
      <w:pPr>
        <w:pStyle w:val="style0"/>
        <w:spacing w:after="0" w:before="0" w:line="100" w:lineRule="atLeast"/>
      </w:pPr>
      <w:r>
        <w:rPr>
          <w:color w:val="000000"/>
          <w:sz w:val="26"/>
          <w:szCs w:val="26"/>
          <w:lang w:eastAsia="it-IT"/>
        </w:rPr>
        <w:tab/>
        <w:tab/>
        <w:t xml:space="preserve"> </w:t>
        <w:tab/>
        <w:tab/>
        <w:tab/>
        <w:tab/>
        <w:tab/>
        <w:t>c.a. Dirigente dott.ssa Patrizia Graziani</w:t>
      </w:r>
    </w:p>
    <w:p>
      <w:pPr>
        <w:pStyle w:val="style0"/>
        <w:spacing w:after="0" w:before="0" w:line="100" w:lineRule="atLeast"/>
      </w:pPr>
      <w:r>
        <w:rPr>
          <w:color w:val="000000"/>
          <w:sz w:val="26"/>
          <w:szCs w:val="26"/>
          <w:lang w:eastAsia="it-IT"/>
        </w:rPr>
        <w:tab/>
        <w:tab/>
        <w:tab/>
        <w:tab/>
        <w:tab/>
        <w:tab/>
        <w:tab/>
        <w:t>e-mail usp.bg@istruzione.it</w:t>
      </w:r>
    </w:p>
    <w:p>
      <w:pPr>
        <w:pStyle w:val="style0"/>
        <w:spacing w:after="0" w:before="0" w:line="100" w:lineRule="atLeast"/>
      </w:pPr>
      <w:r>
        <w:rPr>
          <w:color w:val="000000"/>
          <w:sz w:val="26"/>
          <w:szCs w:val="26"/>
          <w:lang w:eastAsia="it-IT"/>
        </w:rPr>
        <w:tab/>
        <w:tab/>
        <w:tab/>
        <w:tab/>
        <w:tab/>
        <w:tab/>
        <w:tab/>
        <w:t>pec: uspbg@postacert.istruzione.it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bookmarkStart w:id="0" w:name="_GoBack"/>
      <w:bookmarkEnd w:id="0"/>
      <w:r>
        <w:rPr>
          <w:color w:val="000000"/>
          <w:sz w:val="24"/>
          <w:szCs w:val="24"/>
          <w:lang w:eastAsia="it-IT"/>
        </w:rPr>
        <w:t xml:space="preserve"> </w:t>
      </w:r>
    </w:p>
    <w:p>
      <w:pPr>
        <w:pStyle w:val="style0"/>
        <w:spacing w:after="0" w:before="0" w:line="100" w:lineRule="atLeast"/>
      </w:pPr>
      <w:r>
        <w:rPr>
          <w:color w:val="000000"/>
          <w:sz w:val="26"/>
          <w:b/>
          <w:szCs w:val="26"/>
          <w:bCs/>
          <w:lang w:eastAsia="it-IT"/>
        </w:rPr>
        <w:t>Oggetto: cancellazione d’ufficio graduatorie ad esaurimento.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>Con la presente, preso atto dell’intenzione manifestata da codesta amministrazione in data 27-07-17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4"/>
          <w:b w:val="off"/>
          <w:szCs w:val="24"/>
          <w:bCs w:val="off"/>
          <w:lang w:eastAsia="it-IT"/>
        </w:rPr>
        <w:t>(</w:t>
      </w:r>
      <w:r>
        <w:rPr>
          <w:color w:val="000000"/>
          <w:sz w:val="24"/>
          <w:b w:val="off"/>
          <w:szCs w:val="24"/>
          <w:bCs w:val="off"/>
          <w:rFonts w:cs="Courier" w:eastAsia="Courier"/>
          <w:lang w:eastAsia="it-IT"/>
        </w:rPr>
        <w:t xml:space="preserve">MIUR.AOOUSPBG.REGISTRO UFFICIALE(U).0008326.27-07-2017) </w:t>
      </w:r>
      <w:r>
        <w:rPr>
          <w:color w:val="000000"/>
          <w:sz w:val="24"/>
          <w:szCs w:val="24"/>
          <w:lang w:eastAsia="it-IT"/>
        </w:rPr>
        <w:t>di procedere alla cancellazione d’ufficio del sottoscritto/a_______________________________________ dalle graduatorie ad esaurimento per la scuola dell’infanzia e primaria della provincia di Bergamo, si precisa quanto segue.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>Premesso che:</w:t>
      </w:r>
    </w:p>
    <w:p>
      <w:pPr>
        <w:pStyle w:val="style30"/>
        <w:numPr>
          <w:ilvl w:val="0"/>
          <w:numId w:val="1"/>
        </w:numPr>
        <w:jc w:val="both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>il sottoscritto ad oggi risulta essere inserito con riserva nelle Gae in forza di ordinanza cautelare  dal Tar del Lazio;</w:t>
      </w:r>
    </w:p>
    <w:p>
      <w:pPr>
        <w:pStyle w:val="style30"/>
        <w:numPr>
          <w:ilvl w:val="0"/>
          <w:numId w:val="1"/>
        </w:numPr>
        <w:jc w:val="both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>le sentenze del Giudice del Tribunale di Bergamo e della Corte D’Appello di Brescia – Sezione Lavoro, passate in giudicato, con le quali è stato negato il diritto del sottoscritto all’inclusione nelle Graduatorie ad Esaurimento per l’insegnamento nella scuola dell’Infanzia e Primaria hanno petitum diverso rispetto a quello attivato davanti al Tar Lazio nel procedimento sopra indicato;</w:t>
      </w:r>
    </w:p>
    <w:p>
      <w:pPr>
        <w:pStyle w:val="style30"/>
        <w:numPr>
          <w:ilvl w:val="0"/>
          <w:numId w:val="1"/>
        </w:numPr>
        <w:jc w:val="both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>le sentenze emesse dal giudice ordinario non possono per alcun motivo compromettere, né modificare gli effetti prodotti dai provvedimenti cautelari emessi dal Tar Lazio.</w:t>
      </w:r>
    </w:p>
    <w:p>
      <w:pPr>
        <w:pStyle w:val="style30"/>
        <w:jc w:val="both"/>
        <w:ind w:hanging="0" w:left="360" w:right="0"/>
        <w:spacing w:after="0" w:before="0" w:line="100" w:lineRule="atLeast"/>
      </w:pPr>
      <w:r>
        <w:rPr/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 xml:space="preserve">Ciò premesso, pertanto, lo scrivente, in considerazione della piena efficacia del decreto cautelare emesso dal Tar che fa stato tra le parti a prescindere dai giudizi emessi dal Giudice Ordinario, ha acquisito allo stato il diritto  di inserimento con riserva nelle Gae, 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>diffida</w:t>
      </w:r>
    </w:p>
    <w:p>
      <w:pPr>
        <w:pStyle w:val="style0"/>
        <w:jc w:val="center"/>
        <w:spacing w:after="0" w:before="0" w:line="100" w:lineRule="atLeast"/>
      </w:pPr>
      <w:r>
        <w:rPr/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 xml:space="preserve">l’amministrazione in indirizzo a non procedere alla cancellazione del proprio nominativo dalle Gae per la scuola dell’infanzia e primaria della provincia di Bergamo in esecuzione della ordinanza del TAR Lazio 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both"/>
        <w:spacing w:after="0" w:before="0" w:line="100" w:lineRule="atLeast"/>
      </w:pPr>
      <w:r>
        <w:rPr/>
        <w:t>Per eventuali comunicazioni</w:t>
      </w:r>
    </w:p>
    <w:p>
      <w:pPr>
        <w:pStyle w:val="style0"/>
        <w:jc w:val="both"/>
        <w:spacing w:after="0" w:before="0" w:line="100" w:lineRule="atLeast"/>
      </w:pPr>
      <w:r>
        <w:rPr/>
        <w:t>cell__________________________mail____________________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>
          <w:color w:val="000000"/>
          <w:sz w:val="24"/>
          <w:szCs w:val="24"/>
          <w:lang w:eastAsia="it-IT"/>
        </w:rPr>
        <w:t xml:space="preserve">Luogo e data </w:t>
        <w:tab/>
        <w:tab/>
        <w:tab/>
        <w:tab/>
        <w:tab/>
        <w:tab/>
        <w:tab/>
        <w:tab/>
        <w:t>Firma dell'interessato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spacing w:after="160" w:before="0"/>
      </w:pPr>
      <w:r>
        <w:rPr/>
      </w:r>
    </w:p>
    <w:sectPr>
      <w:formProt w:val="off"/>
      <w:pgSz w:h="16838" w:w="11906"/>
      <w:docGrid w:charSpace="0" w:linePitch="360" w:type="default"/>
      <w:textDirection w:val="lrTb"/>
      <w:pgNumType w:fmt="decimal"/>
      <w:type w:val="nextPage"/>
      <w:pgMar w:bottom="1134" w:left="1134" w:right="1134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Jc w:val="left"/>
      <w:lvlText w:val="-"/>
      <w:pPr>
        <w:ind w:hanging="360" w:left="720"/>
      </w:pPr>
      <w:rPr>
        <w:rFonts w:ascii="Comic Sans MS" w:cs="Comic Sans MS" w:hAnsi="Comic Sans MS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Predefinito"/>
    <w:next w:val="style0"/>
    <w:pPr>
      <w:widowControl/>
      <w:tabs>
        <w:tab w:leader="none" w:pos="708" w:val="left"/>
      </w:tabs>
      <w:suppressAutoHyphens w:val="true"/>
      <w:spacing w:after="160" w:before="0" w:line="259" w:lineRule="atLeast"/>
    </w:pPr>
    <w:rPr>
      <w:color w:val="00000A"/>
      <w:sz w:val="24"/>
      <w:szCs w:val="24"/>
      <w:rFonts w:ascii="Times New Roman" w:cs="Mangal" w:eastAsia="SimSun" w:hAnsi="Times New Roman"/>
      <w:lang w:bidi="hi-IN" w:eastAsia="en-US" w:val="it-IT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eastAsia="Times New Roman"/>
    </w:rPr>
  </w:style>
  <w:style w:styleId="style17" w:type="character">
    <w:name w:val="ListLabel 2"/>
    <w:next w:val="style17"/>
    <w:rPr>
      <w:rFonts w:cs="Comic Sans MS"/>
    </w:rPr>
  </w:style>
  <w:style w:styleId="style18" w:type="character">
    <w:name w:val="ListLabel 3"/>
    <w:next w:val="style18"/>
    <w:rPr>
      <w:rFonts w:cs="Courier New"/>
    </w:rPr>
  </w:style>
  <w:style w:styleId="style19" w:type="character">
    <w:name w:val="ListLabel 4"/>
    <w:next w:val="style19"/>
    <w:rPr>
      <w:rFonts w:cs="Wingdings"/>
    </w:rPr>
  </w:style>
  <w:style w:styleId="style20" w:type="character">
    <w:name w:val="ListLabel 5"/>
    <w:next w:val="style20"/>
    <w:rPr>
      <w:rFonts w:cs="Symbol"/>
    </w:rPr>
  </w:style>
  <w:style w:styleId="style21" w:type="character">
    <w:name w:val="ListLabel 6"/>
    <w:next w:val="style21"/>
    <w:rPr>
      <w:rFonts w:cs="Comic Sans MS"/>
    </w:rPr>
  </w:style>
  <w:style w:styleId="style22" w:type="character">
    <w:name w:val="ListLabel 7"/>
    <w:next w:val="style22"/>
    <w:rPr>
      <w:rFonts w:cs="Courier New"/>
    </w:rPr>
  </w:style>
  <w:style w:styleId="style23" w:type="character">
    <w:name w:val="ListLabel 8"/>
    <w:next w:val="style23"/>
    <w:rPr>
      <w:rFonts w:cs="Wingdings"/>
    </w:rPr>
  </w:style>
  <w:style w:styleId="style24" w:type="character">
    <w:name w:val="ListLabel 9"/>
    <w:next w:val="style24"/>
    <w:rPr>
      <w:rFonts w:cs="Symbol"/>
    </w:rPr>
  </w:style>
  <w:style w:styleId="style25" w:type="paragraph">
    <w:name w:val="Intestazione"/>
    <w:basedOn w:val="style0"/>
    <w:next w:val="style26"/>
    <w:pPr>
      <w:keepNext/>
      <w:spacing w:after="120" w:before="240"/>
    </w:pPr>
    <w:rPr>
      <w:sz w:val="28"/>
      <w:szCs w:val="28"/>
      <w:rFonts w:ascii="Arial" w:cs="Mangal" w:eastAsia="Microsoft YaHei" w:hAnsi="Arial"/>
    </w:rPr>
  </w:style>
  <w:style w:styleId="style26" w:type="paragraph">
    <w:name w:val="Corpo testo"/>
    <w:basedOn w:val="style0"/>
    <w:next w:val="style26"/>
    <w:pPr>
      <w:spacing w:after="120" w:before="0"/>
    </w:pPr>
    <w:rPr/>
  </w:style>
  <w:style w:styleId="style27" w:type="paragraph">
    <w:name w:val="Elenco"/>
    <w:basedOn w:val="style26"/>
    <w:next w:val="style27"/>
    <w:pPr/>
    <w:rPr>
      <w:rFonts w:cs="Mangal"/>
    </w:rPr>
  </w:style>
  <w:style w:styleId="style28" w:type="paragraph">
    <w:name w:val="Didascalia"/>
    <w:basedOn w:val="style0"/>
    <w:next w:val="style28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9" w:type="paragraph">
    <w:name w:val="Indice"/>
    <w:basedOn w:val="style0"/>
    <w:next w:val="style29"/>
    <w:pPr>
      <w:suppressLineNumbers/>
    </w:pPr>
    <w:rPr>
      <w:rFonts w:cs="Mangal"/>
    </w:rPr>
  </w:style>
  <w:style w:styleId="style30" w:type="paragraph">
    <w:name w:val="List Paragraph"/>
    <w:basedOn w:val="style0"/>
    <w:next w:val="style30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LibreOffice/3.3$Win32 LibreOffice_project/330m19$Build-301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2017-07-28T07:54:00.00Z</dcterms:created>
  <dc:creator>Fabrizia De Cuia</dc:creator>
  <cp:lastModifiedBy>Fabrizia De Cuia</cp:lastModifiedBy>
  <cp:lastPrinted>2017-07-28T10:48:18.20Z</cp:lastPrinted>
  <dcterms:modified xsi:type="dcterms:W3CDTF">2017-07-28T07:54:00.00Z</dcterms:modified>
  <cp:revision>2</cp:revision>
  <dc:title>Oggetto: cancellazione d’ufficio graduatorie ad esaurimento</dc:title>
</cp:coreProperties>
</file>